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7.png" ContentType="image/png"/>
  <Override PartName="/word/media/rId31.png" ContentType="image/png"/>
  <Override PartName="/word/media/rId37.png" ContentType="image/png"/>
  <Override PartName="/word/media/rId42.png" ContentType="image/png"/>
  <Override PartName="/word/media/rId45.png" ContentType="image/png"/>
  <Override PartName="/word/media/rId34.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Buy</w:t>
      </w:r>
      <w:r>
        <w:t xml:space="preserve"> </w:t>
      </w:r>
      <w:r>
        <w:t xml:space="preserve">big</w:t>
      </w:r>
      <w:r>
        <w:t xml:space="preserve"> </w:t>
      </w:r>
      <w:r>
        <w:t xml:space="preserve">when</w:t>
      </w:r>
      <w:r>
        <w:t xml:space="preserve"> </w:t>
      </w:r>
      <w:r>
        <w:t xml:space="preserve">supply</w:t>
      </w:r>
      <w:r>
        <w:t xml:space="preserve"> </w:t>
      </w:r>
      <w:r>
        <w:t xml:space="preserve">is</w:t>
      </w:r>
      <w:r>
        <w:t xml:space="preserve"> </w:t>
      </w:r>
      <w:r>
        <w:t xml:space="preserve">cheap</w:t>
      </w:r>
    </w:p>
    <w:p>
      <w:pPr>
        <w:pStyle w:val="Author"/>
      </w:pPr>
      <w:r>
        <w:t xml:space="preserve">David</w:t>
      </w:r>
      <w:r>
        <w:t xml:space="preserve"> </w:t>
      </w:r>
      <w:r>
        <w:t xml:space="preserve">Leitch</w:t>
      </w:r>
    </w:p>
    <w:p>
      <w:pPr>
        <w:pStyle w:val="Date"/>
      </w:pPr>
      <w:r>
        <w:t xml:space="preserve">2024-11-15</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warning.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This note has been corrected. I confused Vestas new projects with Vestas orders (backlog). I apologise for the error. The revised text shows the new orders corrects some incorrect inference about the relative importance of Australia to Vestas. Vestas unfulfilled orders are concentrated in EMEA and USA and certainly not Australia. Additionally since I am making the correction readers might note some feedback from the earlier version. To wit: (1) new turbine suppliers Envision and Sany but struggle with the rules. (2) The Goldwind turbine is indeed cheaper and cheaper to maintain but is expensive to erect. Goldwind towers are much heavier and use more steel.</w:t>
            </w:r>
          </w:p>
        </w:tc>
      </w:tr>
    </w:tbl>
    <w:bookmarkStart w:id="49" w:name="Xccffbfe7647bc0d33e3feafd9ebb870b837744f"/>
    <w:p>
      <w:pPr>
        <w:pStyle w:val="Heading1"/>
      </w:pPr>
      <w:r>
        <w:t xml:space="preserve">Buying more from Goldwind might lower the cost of electricity in Australia</w:t>
      </w:r>
    </w:p>
    <w:p>
      <w:pPr>
        <w:pStyle w:val="Compact"/>
        <w:numPr>
          <w:ilvl w:val="0"/>
          <w:numId w:val="1001"/>
        </w:numPr>
      </w:pPr>
      <w:r>
        <w:t xml:space="preserve">Vestas is the world’s largest non Chinese wind turbine supplier. Incredibly Australia represents the biggest share of its forward order book. Think about that. Despite the IRA, despite not many projects getting to FID in Australia we are the largest share of the world’s largest non Chinese turbine suppliers order book. Recently Vestas achieved a confirmed order in Australia for the 342 MW Lotus Creek Wind farm South of Mackay in QLD owned by CS Energy. Project cost is stated at $1.3 bn.</w:t>
      </w:r>
    </w:p>
    <w:p>
      <w:pPr>
        <w:pStyle w:val="Compact"/>
        <w:numPr>
          <w:ilvl w:val="0"/>
          <w:numId w:val="1001"/>
        </w:numPr>
      </w:pPr>
      <w:r>
        <w:t xml:space="preserve">Goldwind is the largest Chinese wind turbine supplier and its total forward order book is double the size of Vestas. Its domestic turbine prices are more than 20% cheaper than Vestas turbines and are also 6 MW. In term of installed turbines Australia is, by a whisker, with an installed based of 1GW, still the largest offshore base for Goldwind. However Goldwind doesn’t seem to have many new orders in Australia.</w:t>
      </w:r>
    </w:p>
    <w:p>
      <w:pPr>
        <w:pStyle w:val="FirstParagraph"/>
      </w:pPr>
      <w:r>
        <w:t xml:space="preserve">Given that Goldwind turbines are lower cost and in my opinion their cost driven by learning rate impacts will continue to come down I wonder whether Australian developers shouldn’t give Chinese turbine suppliers more of a go. It’s not like Vestas stuff is perfect. There are other suppliers of course both other Europeans and GE. GE though is likely to focus mostly on the USA.</w:t>
      </w:r>
    </w:p>
    <w:p>
      <w:pPr>
        <w:pStyle w:val="BodyText"/>
      </w:pPr>
      <w:r>
        <w:t xml:space="preserve">In my opinion China has excess capacity at the moment, it’s already largely locked out of the USA market and could well be locked out further post the USA election.</w:t>
      </w:r>
    </w:p>
    <w:p>
      <w:pPr>
        <w:pStyle w:val="BodyText"/>
      </w:pPr>
      <w:r>
        <w:t xml:space="preserve">Australia is geographically quite close to China, we have very strong trade relationships with China. Australia actually holds the upper hand with China when it comes to commodities because of iron ore, but we also export a good share of our LNG production to China. Of course we import a bunch of stuff as well.</w:t>
      </w:r>
    </w:p>
    <w:p>
      <w:pPr>
        <w:pStyle w:val="BodyText"/>
      </w:pPr>
      <w:r>
        <w:t xml:space="preserve">When interest rates were low Australia could have done far more infrastructure investment than we actually did do. It was an opportunity missed.</w:t>
      </w:r>
    </w:p>
    <w:p>
      <w:pPr>
        <w:pStyle w:val="BodyText"/>
      </w:pPr>
      <w:r>
        <w:t xml:space="preserve">Right now we can access all the wind turbines, all the solar panels, all the batteries, all the EVs we want from a willing seller. Let’s not waste the opportunity. Let’s put the foot down now while the opportunity is there and go hard. I am not an advocate for China’s politics. You couldn’t pay me enough to live in such a restrictive political system, but as far as trade goes it seems well to Australia’s benefit to buy when the opportunity is there.</w:t>
      </w:r>
    </w:p>
    <w:p>
      <w:pPr>
        <w:pStyle w:val="BodyText"/>
      </w:pPr>
      <w:r>
        <w:t xml:space="preserve">Equally we need to get the cost of wind energy down in Australia. T</w:t>
      </w:r>
      <w:r>
        <w:rPr>
          <w:b/>
          <w:bCs/>
        </w:rPr>
        <w:t xml:space="preserve">he landed cost of turbines is about 60% of the total cost of a wind farm</w:t>
      </w:r>
      <w:r>
        <w:t xml:space="preserve">. Getting that cost down 20% would represent a 12% reduction in total costs. The second biggest cost is probably the combination of grid connection and the associated typically very negative MLF. But that’s for later analysis.</w:t>
      </w:r>
    </w:p>
    <w:bookmarkStart w:id="30" w:name="Xecc263d7d19732e6260997fbb57d1cd49cadd70"/>
    <w:p>
      <w:pPr>
        <w:pStyle w:val="Heading2"/>
      </w:pPr>
      <w:r>
        <w:t xml:space="preserve">Australia is expensive time to go down the cost curve</w:t>
      </w:r>
    </w:p>
    <w:p>
      <w:pPr>
        <w:pStyle w:val="FirstParagraph"/>
      </w:pPr>
      <w:r>
        <w:t xml:space="preserve">Some work I have been doing on LCOE estimates from various respected commentators leads me to think that wind development in Australia is relatively expensive by global standards. The reasons for these different estimates can be hard to pin down but by and large the wind resource and the land payment cost in Australia (estimated at say A$60k per turbine per year) are globally competitive and there is no reason to expect the capital cost of the turbine in $US is any different in Australia to what it is in South America.. So I expect that much of the cost difference is due to things like connection costs, planning costs and delays, and labour, concrete, road access and so on. One thing I do think makes a difference is whether to build your wind farm on flat land or on a ridge. Crane costs are likely to be a lot higher on ridges, but this is just speculation.</w:t>
      </w:r>
    </w:p>
    <w:p>
      <w:pPr>
        <w:pStyle w:val="BodyText"/>
      </w:pPr>
      <w:r>
        <w:t xml:space="preserve">LCOE/IRR/NPV models of a generic description are available from a range of sources. These include NREL</w:t>
      </w:r>
      <w:r>
        <w:t xml:space="preserve"> </w:t>
      </w:r>
      <w:hyperlink r:id="rId23">
        <w:r>
          <w:rPr>
            <w:rStyle w:val="Hyperlink"/>
          </w:rPr>
          <w:t xml:space="preserve">Annual Technology Baseline</w:t>
        </w:r>
      </w:hyperlink>
      <w:r>
        <w:t xml:space="preserve"> </w:t>
      </w:r>
      <w:r>
        <w:t xml:space="preserve">which provide good documentation of assumptions but which are USA based, Lazards also produce a similar USA based</w:t>
      </w:r>
      <w:r>
        <w:t xml:space="preserve"> </w:t>
      </w:r>
      <w:hyperlink r:id="rId24">
        <w:r>
          <w:rPr>
            <w:rStyle w:val="Hyperlink"/>
          </w:rPr>
          <w:t xml:space="preserve">analysis</w:t>
        </w:r>
      </w:hyperlink>
      <w:r>
        <w:t xml:space="preserve"> </w:t>
      </w:r>
      <w:r>
        <w:t xml:space="preserve">but with less assumption discussion. IRENA produces a understandably global</w:t>
      </w:r>
      <w:r>
        <w:t xml:space="preserve"> </w:t>
      </w:r>
      <w:hyperlink r:id="rId25">
        <w:r>
          <w:rPr>
            <w:rStyle w:val="Hyperlink"/>
          </w:rPr>
          <w:t xml:space="preserve">report</w:t>
        </w:r>
      </w:hyperlink>
    </w:p>
    <w:p>
      <w:pPr>
        <w:pStyle w:val="BodyText"/>
      </w:pPr>
      <w:r>
        <w:t xml:space="preserve">In Australia the most well known and heavily analysed report is the CSIRO</w:t>
      </w:r>
      <w:r>
        <w:t xml:space="preserve"> </w:t>
      </w:r>
      <w:hyperlink r:id="rId26">
        <w:r>
          <w:rPr>
            <w:rStyle w:val="Hyperlink"/>
          </w:rPr>
          <w:t xml:space="preserve">Gencost report</w:t>
        </w:r>
      </w:hyperlink>
      <w:r>
        <w:t xml:space="preserve">. However in my opinion the CSIRO diminished the reliability of its report by trying to include system LCOE as well as asset LCOE data.</w:t>
      </w:r>
    </w:p>
    <w:p>
      <w:pPr>
        <w:pStyle w:val="BodyText"/>
      </w:pPr>
      <w:r>
        <w:t xml:space="preserve">In addition investment banks and many others produce asset and or project specific NPV analysis.</w:t>
      </w:r>
    </w:p>
    <w:p>
      <w:pPr>
        <w:pStyle w:val="BodyText"/>
      </w:pPr>
      <w:r>
        <w:t xml:space="preserve">However the estimates of LCOE and inputs show considerable variation. In the following table where an organisation has provided 2 or more estimates of a parameter I have taken a simple average of the high and the low. Figures presented in $US have been converted to $A at 1.43.</w:t>
      </w:r>
    </w:p>
    <w:p>
      <w:pPr>
        <w:pStyle w:val="CaptionedFigure"/>
      </w:pPr>
      <w:r>
        <w:drawing>
          <wp:inline>
            <wp:extent cx="5334000" cy="1156655"/>
            <wp:effectExtent b="0" l="0" r="0" t="0"/>
            <wp:docPr descr="Wind LCOE estimates." title="" id="28" name="Picture"/>
            <a:graphic>
              <a:graphicData uri="http://schemas.openxmlformats.org/drawingml/2006/picture">
                <pic:pic>
                  <pic:nvPicPr>
                    <pic:cNvPr descr="../media/image-20241105161719005.png" id="29" name="Picture"/>
                    <pic:cNvPicPr>
                      <a:picLocks noChangeArrowheads="1" noChangeAspect="1"/>
                    </pic:cNvPicPr>
                  </pic:nvPicPr>
                  <pic:blipFill>
                    <a:blip r:embed="rId27"/>
                    <a:stretch>
                      <a:fillRect/>
                    </a:stretch>
                  </pic:blipFill>
                  <pic:spPr bwMode="auto">
                    <a:xfrm>
                      <a:off x="0" y="0"/>
                      <a:ext cx="5334000" cy="1156655"/>
                    </a:xfrm>
                    <a:prstGeom prst="rect">
                      <a:avLst/>
                    </a:prstGeom>
                    <a:noFill/>
                    <a:ln w="9525">
                      <a:noFill/>
                      <a:headEnd/>
                      <a:tailEnd/>
                    </a:ln>
                  </pic:spPr>
                </pic:pic>
              </a:graphicData>
            </a:graphic>
          </wp:inline>
        </w:drawing>
      </w:r>
    </w:p>
    <w:p>
      <w:pPr>
        <w:pStyle w:val="ImageCaption"/>
      </w:pPr>
      <w:r>
        <w:t xml:space="preserve">Wind LCOE estimates.</w:t>
      </w:r>
    </w:p>
    <w:bookmarkEnd w:id="30"/>
    <w:bookmarkStart w:id="41" w:name="Xf19cb587c355bc032f67e688bbfe35ce2c22056"/>
    <w:p>
      <w:pPr>
        <w:pStyle w:val="Heading2"/>
      </w:pPr>
      <w:r>
        <w:t xml:space="preserve">Vestas turbine achieved prices are up 10% to Euro 1.1 m MW</w:t>
      </w:r>
    </w:p>
    <w:p>
      <w:pPr>
        <w:pStyle w:val="CaptionedFigure"/>
      </w:pPr>
      <w:r>
        <w:drawing>
          <wp:inline>
            <wp:extent cx="5334000" cy="4003099"/>
            <wp:effectExtent b="0" l="0" r="0" t="0"/>
            <wp:docPr descr="Vestas Q3 2024. Source:Company" title="" id="32" name="Picture"/>
            <a:graphic>
              <a:graphicData uri="http://schemas.openxmlformats.org/drawingml/2006/picture">
                <pic:pic>
                  <pic:nvPicPr>
                    <pic:cNvPr descr="../media/image-20241114131812024.png" id="33" name="Picture"/>
                    <pic:cNvPicPr>
                      <a:picLocks noChangeArrowheads="1" noChangeAspect="1"/>
                    </pic:cNvPicPr>
                  </pic:nvPicPr>
                  <pic:blipFill>
                    <a:blip r:embed="rId31"/>
                    <a:stretch>
                      <a:fillRect/>
                    </a:stretch>
                  </pic:blipFill>
                  <pic:spPr bwMode="auto">
                    <a:xfrm>
                      <a:off x="0" y="0"/>
                      <a:ext cx="5334000" cy="4003099"/>
                    </a:xfrm>
                    <a:prstGeom prst="rect">
                      <a:avLst/>
                    </a:prstGeom>
                    <a:noFill/>
                    <a:ln w="9525">
                      <a:noFill/>
                      <a:headEnd/>
                      <a:tailEnd/>
                    </a:ln>
                  </pic:spPr>
                </pic:pic>
              </a:graphicData>
            </a:graphic>
          </wp:inline>
        </w:drawing>
      </w:r>
    </w:p>
    <w:p>
      <w:pPr>
        <w:pStyle w:val="ImageCaption"/>
      </w:pPr>
      <w:r>
        <w:t xml:space="preserve">Vestas Q3 2024. Source:Company</w:t>
      </w:r>
    </w:p>
    <w:bookmarkStart w:id="40" w:name="vestas-new-orders"/>
    <w:p>
      <w:pPr>
        <w:pStyle w:val="Heading3"/>
      </w:pPr>
      <w:r>
        <w:t xml:space="preserve">Vestas new orders</w:t>
      </w:r>
    </w:p>
    <w:p>
      <w:pPr>
        <w:pStyle w:val="FirstParagraph"/>
      </w:pPr>
      <w:r>
        <w:t xml:space="preserve">Note I have left the new project data but in fact Vestas new orders were stated in the Quarterly p10 as:</w:t>
      </w:r>
      <w:r>
        <w:t xml:space="preserve"> </w:t>
      </w:r>
      <w:r>
        <w:drawing>
          <wp:inline>
            <wp:extent cx="5334000" cy="2857901"/>
            <wp:effectExtent b="0" l="0" r="0" t="0"/>
            <wp:docPr descr="Vestas new orders. Source:Company" title="" id="35" name="Picture"/>
            <a:graphic>
              <a:graphicData uri="http://schemas.openxmlformats.org/drawingml/2006/picture">
                <pic:pic>
                  <pic:nvPicPr>
                    <pic:cNvPr descr="../media/image-20241116073514369.png" id="36" name="Picture"/>
                    <pic:cNvPicPr>
                      <a:picLocks noChangeArrowheads="1" noChangeAspect="1"/>
                    </pic:cNvPicPr>
                  </pic:nvPicPr>
                  <pic:blipFill>
                    <a:blip r:embed="rId34"/>
                    <a:stretch>
                      <a:fillRect/>
                    </a:stretch>
                  </pic:blipFill>
                  <pic:spPr bwMode="auto">
                    <a:xfrm>
                      <a:off x="0" y="0"/>
                      <a:ext cx="5334000" cy="2857901"/>
                    </a:xfrm>
                    <a:prstGeom prst="rect">
                      <a:avLst/>
                    </a:prstGeom>
                    <a:noFill/>
                    <a:ln w="9525">
                      <a:noFill/>
                      <a:headEnd/>
                      <a:tailEnd/>
                    </a:ln>
                  </pic:spPr>
                </pic:pic>
              </a:graphicData>
            </a:graphic>
          </wp:inline>
        </w:drawing>
      </w:r>
    </w:p>
    <w:p>
      <w:pPr>
        <w:pStyle w:val="BodyText"/>
      </w:pPr>
      <w:r>
        <w:t xml:space="preserve">Orders exceeded deliveries in the quarter and concentrated in EMEA and Americals.</w:t>
      </w:r>
    </w:p>
    <w:p>
      <w:pPr>
        <w:pStyle w:val="BodyText"/>
      </w:pPr>
      <w:r>
        <w:t xml:space="preserve">Vestas has a new project pipeline of 28 GW most of which is in APAC and Vestas states its three largest pipelines are Australia, USA and Brazil. So Australia is the biggest global market for Vestas at present. However there wasn’t much growth in the pipeline in the quarter</w:t>
      </w:r>
    </w:p>
    <w:p>
      <w:pPr>
        <w:pStyle w:val="CaptionedFigure"/>
      </w:pPr>
      <w:r>
        <w:drawing>
          <wp:inline>
            <wp:extent cx="5334000" cy="3893923"/>
            <wp:effectExtent b="0" l="0" r="0" t="0"/>
            <wp:docPr descr="Vestas forward orders.Source: Company" title="" id="38" name="Picture"/>
            <a:graphic>
              <a:graphicData uri="http://schemas.openxmlformats.org/drawingml/2006/picture">
                <pic:pic>
                  <pic:nvPicPr>
                    <pic:cNvPr descr="../media/image-20241114132135301.png" id="39" name="Picture"/>
                    <pic:cNvPicPr>
                      <a:picLocks noChangeArrowheads="1" noChangeAspect="1"/>
                    </pic:cNvPicPr>
                  </pic:nvPicPr>
                  <pic:blipFill>
                    <a:blip r:embed="rId37"/>
                    <a:stretch>
                      <a:fillRect/>
                    </a:stretch>
                  </pic:blipFill>
                  <pic:spPr bwMode="auto">
                    <a:xfrm>
                      <a:off x="0" y="0"/>
                      <a:ext cx="5334000" cy="3893923"/>
                    </a:xfrm>
                    <a:prstGeom prst="rect">
                      <a:avLst/>
                    </a:prstGeom>
                    <a:noFill/>
                    <a:ln w="9525">
                      <a:noFill/>
                      <a:headEnd/>
                      <a:tailEnd/>
                    </a:ln>
                  </pic:spPr>
                </pic:pic>
              </a:graphicData>
            </a:graphic>
          </wp:inline>
        </w:drawing>
      </w:r>
    </w:p>
    <w:p>
      <w:pPr>
        <w:pStyle w:val="ImageCaption"/>
      </w:pPr>
      <w:r>
        <w:t xml:space="preserve">Vestas forward orders.Source: Company</w:t>
      </w:r>
    </w:p>
    <w:p>
      <w:pPr>
        <w:pStyle w:val="BodyText"/>
      </w:pPr>
      <w:r>
        <w:t xml:space="preserve">Vestas profitability has improved and the company has low levels of debt. Cashflow is better than last year but was negatively impacted by working capital adjustments. The company still working out some loss making business. Vestas states that those loss making contracts will be completed in the current quarter.</w:t>
      </w:r>
    </w:p>
    <w:bookmarkEnd w:id="40"/>
    <w:bookmarkEnd w:id="41"/>
    <w:bookmarkStart w:id="48" w:name="X4bb6d65442d0028c4ff4c4deca07e1e501e1695"/>
    <w:p>
      <w:pPr>
        <w:pStyle w:val="Heading2"/>
      </w:pPr>
      <w:r>
        <w:t xml:space="preserve">Goldwind has double the Vestas pipeline and cheaper turbines</w:t>
      </w:r>
    </w:p>
    <w:p>
      <w:pPr>
        <w:pStyle w:val="FirstParagraph"/>
      </w:pPr>
      <w:r>
        <w:t xml:space="preserve">Unfortunately who ever was responsible for the english presentation of Goldwind’s Q3 results forgot to put any currency numbers on the following figure. Still I assume the quoted construction cost for China in 2023 is US$986/KW.</w:t>
      </w:r>
    </w:p>
    <w:p>
      <w:pPr>
        <w:pStyle w:val="CaptionedFigure"/>
      </w:pPr>
      <w:r>
        <w:drawing>
          <wp:inline>
            <wp:extent cx="5334000" cy="4131611"/>
            <wp:effectExtent b="0" l="0" r="0" t="0"/>
            <wp:docPr descr="Wind capex and LCOE development. Source: Goldwind" title="" id="43" name="Picture"/>
            <a:graphic>
              <a:graphicData uri="http://schemas.openxmlformats.org/drawingml/2006/picture">
                <pic:pic>
                  <pic:nvPicPr>
                    <pic:cNvPr descr="../media/image-20241114133154013.png" id="44" name="Picture"/>
                    <pic:cNvPicPr>
                      <a:picLocks noChangeArrowheads="1" noChangeAspect="1"/>
                    </pic:cNvPicPr>
                  </pic:nvPicPr>
                  <pic:blipFill>
                    <a:blip r:embed="rId42"/>
                    <a:stretch>
                      <a:fillRect/>
                    </a:stretch>
                  </pic:blipFill>
                  <pic:spPr bwMode="auto">
                    <a:xfrm>
                      <a:off x="0" y="0"/>
                      <a:ext cx="5334000" cy="4131611"/>
                    </a:xfrm>
                    <a:prstGeom prst="rect">
                      <a:avLst/>
                    </a:prstGeom>
                    <a:noFill/>
                    <a:ln w="9525">
                      <a:noFill/>
                      <a:headEnd/>
                      <a:tailEnd/>
                    </a:ln>
                  </pic:spPr>
                </pic:pic>
              </a:graphicData>
            </a:graphic>
          </wp:inline>
        </w:drawing>
      </w:r>
    </w:p>
    <w:p>
      <w:pPr>
        <w:pStyle w:val="ImageCaption"/>
      </w:pPr>
      <w:r>
        <w:t xml:space="preserve">Wind capex and LCOE development. Source: Goldwind</w:t>
      </w:r>
    </w:p>
    <w:p>
      <w:pPr>
        <w:pStyle w:val="BodyText"/>
      </w:pPr>
      <w:r>
        <w:t xml:space="preserve">If I convert the US$ numbers to A$ its a construction cost in China of A$1410 (about half the cost of fully constructed and connected plant in Australia) and the LCOE is A$38/MWh. Those numbers are materially less than the NREL estimate for the USA and the IRENA global estimate. Obviously they are less than 50% of the cost of wind in Australia.</w:t>
      </w:r>
    </w:p>
    <w:p>
      <w:pPr>
        <w:pStyle w:val="BodyText"/>
      </w:pPr>
      <w:r>
        <w:t xml:space="preserve">In regards to price Goldwind shows the bid price into China’s bidding system.</w:t>
      </w:r>
    </w:p>
    <w:p>
      <w:pPr>
        <w:pStyle w:val="CaptionedFigure"/>
      </w:pPr>
      <w:r>
        <w:drawing>
          <wp:inline>
            <wp:extent cx="3733800" cy="2495048"/>
            <wp:effectExtent b="0" l="0" r="0" t="0"/>
            <wp:docPr descr="Wind bidding price China: Source: Goldwind" title="" id="46" name="Picture"/>
            <a:graphic>
              <a:graphicData uri="http://schemas.openxmlformats.org/drawingml/2006/picture">
                <pic:pic>
                  <pic:nvPicPr>
                    <pic:cNvPr descr="../media/image-20241115110124217.png" id="47" name="Picture"/>
                    <pic:cNvPicPr>
                      <a:picLocks noChangeArrowheads="1" noChangeAspect="1"/>
                    </pic:cNvPicPr>
                  </pic:nvPicPr>
                  <pic:blipFill>
                    <a:blip r:embed="rId45"/>
                    <a:stretch>
                      <a:fillRect/>
                    </a:stretch>
                  </pic:blipFill>
                  <pic:spPr bwMode="auto">
                    <a:xfrm>
                      <a:off x="0" y="0"/>
                      <a:ext cx="3733800" cy="2495048"/>
                    </a:xfrm>
                    <a:prstGeom prst="rect">
                      <a:avLst/>
                    </a:prstGeom>
                    <a:noFill/>
                    <a:ln w="9525">
                      <a:noFill/>
                      <a:headEnd/>
                      <a:tailEnd/>
                    </a:ln>
                  </pic:spPr>
                </pic:pic>
              </a:graphicData>
            </a:graphic>
          </wp:inline>
        </w:drawing>
      </w:r>
    </w:p>
    <w:p>
      <w:pPr>
        <w:pStyle w:val="ImageCaption"/>
      </w:pPr>
      <w:r>
        <w:t xml:space="preserve">Wind bidding price China: Source: Goldwind</w:t>
      </w:r>
    </w:p>
    <w:p>
      <w:pPr>
        <w:pStyle w:val="BodyText"/>
      </w:pPr>
      <w:r>
        <w:t xml:space="preserve">These numbers are shown in RMB per KW. For a capacity factor of 25% and 30 years of lifetime that amounts on my arithmetic to a subsidy of about A$5/MWh but my arithmetic is not very good. I guess the real point is its falling a little bit.</w:t>
      </w:r>
    </w:p>
    <w:p>
      <w:pPr>
        <w:pStyle w:val="BodyText"/>
      </w:pPr>
      <w:r>
        <w:t xml:space="preserve">So assuming Goldwind’s numbers are accurate there are two implications:</w:t>
      </w:r>
    </w:p>
    <w:p>
      <w:pPr>
        <w:pStyle w:val="Compact"/>
        <w:numPr>
          <w:ilvl w:val="0"/>
          <w:numId w:val="1002"/>
        </w:numPr>
      </w:pPr>
      <w:r>
        <w:t xml:space="preserve">Australia will not be competitive with China in an electricity system dominated by wind.</w:t>
      </w:r>
    </w:p>
    <w:p>
      <w:pPr>
        <w:pStyle w:val="Compact"/>
        <w:numPr>
          <w:ilvl w:val="0"/>
          <w:numId w:val="1002"/>
        </w:numPr>
      </w:pPr>
      <w:r>
        <w:t xml:space="preserve">Australia needs to work on getting its wind costs down. I’d argue that one way to do that is to use the Chinese expertise.</w:t>
      </w:r>
    </w:p>
    <w:p>
      <w:pPr>
        <w:pStyle w:val="FirstParagraph"/>
      </w:pPr>
      <w:r>
        <w:t xml:space="preserve">Goldwind states China installed 39 GW in the first 9 months of the year, that’s 1 GW a week. Wind capacity factor was (1134/8760)*2=26% which is not all that bad. Australia could do quite a bit better if one was to ignore MLFs and curtailment.</w:t>
      </w:r>
    </w:p>
    <w:p>
      <w:pPr>
        <w:pStyle w:val="BodyText"/>
      </w:pPr>
      <w:r>
        <w:t xml:space="preserve">Goldwind sold nearly 10 GW of turbines in the first 9 months of the year about 57% was 6 MW or larger. Total backlog, conceptually a firmer measure than the Vestas pipeline is 44 GW of which 73% is 6 MW. More importantly the firm order backlog was 29 GW. And more importantly still 5.5 GW of new orders were ex China</w:t>
      </w:r>
    </w:p>
    <w:p>
      <w:pPr>
        <w:pStyle w:val="BodyText"/>
      </w:pPr>
      <w:r>
        <w:t xml:space="preserve">Unlike Vestas Goldwind is geared with A$11.7 bn of debt. Deeply regrettably I don’t read Chinese but to the best of my ability I cannot find where Goldwind reports depreciation in its quarterly data. Operating income, an American concept, close to the Australian concept of EBIT (earning before interest and tax) was A$7.7 bn for the 9 months, lets say A$10 bn for the year and I estimate ebitda at lets say A$11 bn. That’s a debt:ebitda ratio of around 1 which is reasonably ok and compares to Vestas quite closely.</w:t>
      </w:r>
    </w:p>
    <w:bookmarkEnd w:id="48"/>
    <w:bookmarkEnd w:id="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7" Target="media/rId27.png" /><Relationship Type="http://schemas.openxmlformats.org/officeDocument/2006/relationships/image" Id="rId31" Target="media/rId31.png" /><Relationship Type="http://schemas.openxmlformats.org/officeDocument/2006/relationships/image" Id="rId37" Target="media/rId37.png" /><Relationship Type="http://schemas.openxmlformats.org/officeDocument/2006/relationships/image" Id="rId42" Target="media/rId42.png" /><Relationship Type="http://schemas.openxmlformats.org/officeDocument/2006/relationships/image" Id="rId45" Target="media/rId45.png" /><Relationship Type="http://schemas.openxmlformats.org/officeDocument/2006/relationships/image" Id="rId34" Target="media/rId34.png" /><Relationship Type="http://schemas.openxmlformats.org/officeDocument/2006/relationships/image" Id="rId20" Target="media/rId20.png" /><Relationship Type="http://schemas.openxmlformats.org/officeDocument/2006/relationships/hyperlink" Id="rId23" Target="https://atb.nrel.gov/electricity/2023/land-based_wind" TargetMode="External" /><Relationship Type="http://schemas.openxmlformats.org/officeDocument/2006/relationships/hyperlink" Id="rId26" Target="https://www.csiro.au/en/research/technology-space/energy/gencost" TargetMode="External" /><Relationship Type="http://schemas.openxmlformats.org/officeDocument/2006/relationships/hyperlink" Id="rId25" Target="https://www.irena.org/Publications/2024/Sep/Renewable-Power-Generation-Costs-in-2023" TargetMode="External" /><Relationship Type="http://schemas.openxmlformats.org/officeDocument/2006/relationships/hyperlink" Id="rId24" Target="https://www.lazard.com/research-insights/levelized-cost-of-energyplus/" TargetMode="External" /></Relationships>
</file>

<file path=word/_rels/footnotes.xml.rels><?xml version="1.0" encoding="UTF-8"?><Relationships xmlns="http://schemas.openxmlformats.org/package/2006/relationships"><Relationship Type="http://schemas.openxmlformats.org/officeDocument/2006/relationships/hyperlink" Id="rId23" Target="https://atb.nrel.gov/electricity/2023/land-based_wind" TargetMode="External" /><Relationship Type="http://schemas.openxmlformats.org/officeDocument/2006/relationships/hyperlink" Id="rId26" Target="https://www.csiro.au/en/research/technology-space/energy/gencost" TargetMode="External" /><Relationship Type="http://schemas.openxmlformats.org/officeDocument/2006/relationships/hyperlink" Id="rId25" Target="https://www.irena.org/Publications/2024/Sep/Renewable-Power-Generation-Costs-in-2023" TargetMode="External" /><Relationship Type="http://schemas.openxmlformats.org/officeDocument/2006/relationships/hyperlink" Id="rId24" Target="https://www.lazard.com/research-insights/levelized-cost-of-energyplu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Buy big when supply is cheap</dc:title>
  <dc:creator>David Leitch</dc:creator>
  <cp:keywords/>
  <dcterms:created xsi:type="dcterms:W3CDTF">2024-11-15T20:44:13Z</dcterms:created>
  <dcterms:modified xsi:type="dcterms:W3CDTF">2024-11-15T20:44:13Z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2024-11-15</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../media/image-20241105161719005.png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